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9832D" w14:textId="24EB2AF0" w:rsidR="007E14C6" w:rsidRPr="007E14C6" w:rsidRDefault="007E14C6" w:rsidP="007E14C6">
      <w:pPr>
        <w:spacing w:before="100" w:beforeAutospacing="1" w:after="100" w:afterAutospacing="1"/>
        <w:jc w:val="center"/>
        <w:rPr>
          <w:rFonts w:asciiTheme="minorHAnsi" w:hAnsiTheme="minorHAnsi" w:cstheme="minorHAnsi"/>
          <w:b/>
          <w:bCs/>
        </w:rPr>
      </w:pPr>
      <w:r w:rsidRPr="007E14C6">
        <w:rPr>
          <w:rFonts w:asciiTheme="minorHAnsi" w:hAnsiTheme="minorHAnsi" w:cstheme="minorHAnsi"/>
          <w:b/>
          <w:bCs/>
        </w:rPr>
        <w:t>BUDGET &amp; PRECEPT 202</w:t>
      </w:r>
      <w:r>
        <w:rPr>
          <w:rFonts w:asciiTheme="minorHAnsi" w:hAnsiTheme="minorHAnsi" w:cstheme="minorHAnsi"/>
          <w:b/>
          <w:bCs/>
        </w:rPr>
        <w:t>3</w:t>
      </w:r>
      <w:r w:rsidRPr="007E14C6">
        <w:rPr>
          <w:rFonts w:asciiTheme="minorHAnsi" w:hAnsiTheme="minorHAnsi" w:cstheme="minorHAnsi"/>
          <w:b/>
          <w:bCs/>
        </w:rPr>
        <w:t>/2</w:t>
      </w:r>
      <w:r>
        <w:rPr>
          <w:rFonts w:asciiTheme="minorHAnsi" w:hAnsiTheme="minorHAnsi" w:cstheme="minorHAnsi"/>
          <w:b/>
          <w:bCs/>
        </w:rPr>
        <w:t>4</w:t>
      </w:r>
    </w:p>
    <w:p w14:paraId="4E6AA85B" w14:textId="4C03F34C" w:rsidR="00ED2445" w:rsidRPr="00ED2445" w:rsidRDefault="00872CE1" w:rsidP="00CD4F11">
      <w:pPr>
        <w:spacing w:line="276" w:lineRule="auto"/>
        <w:jc w:val="both"/>
        <w:rPr>
          <w:rFonts w:asciiTheme="minorHAnsi" w:hAnsiTheme="minorHAnsi" w:cstheme="minorHAnsi"/>
        </w:rPr>
      </w:pPr>
      <w:r w:rsidRPr="00CD4F11">
        <w:rPr>
          <w:rFonts w:asciiTheme="minorHAnsi" w:hAnsiTheme="minorHAnsi" w:cstheme="minorHAnsi"/>
        </w:rPr>
        <w:t xml:space="preserve">Middleton Cheney Parish Council </w:t>
      </w:r>
      <w:r w:rsidR="00ED2445" w:rsidRPr="00ED2445">
        <w:rPr>
          <w:rFonts w:asciiTheme="minorHAnsi" w:hAnsiTheme="minorHAnsi" w:cstheme="minorHAnsi"/>
        </w:rPr>
        <w:t>must act within the law</w:t>
      </w:r>
      <w:r w:rsidR="006B78D0" w:rsidRPr="00CD4F11">
        <w:rPr>
          <w:rFonts w:asciiTheme="minorHAnsi" w:hAnsiTheme="minorHAnsi" w:cstheme="minorHAnsi"/>
        </w:rPr>
        <w:t>, and we</w:t>
      </w:r>
      <w:r w:rsidR="00ED2445" w:rsidRPr="00ED2445">
        <w:rPr>
          <w:rFonts w:asciiTheme="minorHAnsi" w:hAnsiTheme="minorHAnsi" w:cstheme="minorHAnsi"/>
        </w:rPr>
        <w:t xml:space="preserve"> can only spend, </w:t>
      </w:r>
      <w:proofErr w:type="gramStart"/>
      <w:r w:rsidR="00ED2445" w:rsidRPr="00ED2445">
        <w:rPr>
          <w:rFonts w:asciiTheme="minorHAnsi" w:hAnsiTheme="minorHAnsi" w:cstheme="minorHAnsi"/>
        </w:rPr>
        <w:t>raise</w:t>
      </w:r>
      <w:proofErr w:type="gramEnd"/>
      <w:r w:rsidR="00ED2445" w:rsidRPr="00ED2445">
        <w:rPr>
          <w:rFonts w:asciiTheme="minorHAnsi" w:hAnsiTheme="minorHAnsi" w:cstheme="minorHAnsi"/>
        </w:rPr>
        <w:t xml:space="preserve"> or use money </w:t>
      </w:r>
      <w:r w:rsidR="006B78D0" w:rsidRPr="00CD4F11">
        <w:rPr>
          <w:rFonts w:asciiTheme="minorHAnsi" w:hAnsiTheme="minorHAnsi" w:cstheme="minorHAnsi"/>
        </w:rPr>
        <w:t>if we have a</w:t>
      </w:r>
      <w:r w:rsidR="00ED2445" w:rsidRPr="00ED2445">
        <w:rPr>
          <w:rFonts w:asciiTheme="minorHAnsi" w:hAnsiTheme="minorHAnsi" w:cstheme="minorHAnsi"/>
        </w:rPr>
        <w:t xml:space="preserve"> statutory power to do so, otherwise </w:t>
      </w:r>
      <w:r w:rsidR="006B78D0" w:rsidRPr="00CD4F11">
        <w:rPr>
          <w:rFonts w:asciiTheme="minorHAnsi" w:hAnsiTheme="minorHAnsi" w:cstheme="minorHAnsi"/>
        </w:rPr>
        <w:t>we</w:t>
      </w:r>
      <w:r w:rsidR="00ED2445" w:rsidRPr="00ED2445">
        <w:rPr>
          <w:rFonts w:asciiTheme="minorHAnsi" w:hAnsiTheme="minorHAnsi" w:cstheme="minorHAnsi"/>
        </w:rPr>
        <w:t xml:space="preserve"> act ultra vires (beyond </w:t>
      </w:r>
      <w:r w:rsidR="00BA226A" w:rsidRPr="00CD4F11">
        <w:rPr>
          <w:rFonts w:asciiTheme="minorHAnsi" w:hAnsiTheme="minorHAnsi" w:cstheme="minorHAnsi"/>
        </w:rPr>
        <w:t>our</w:t>
      </w:r>
      <w:r w:rsidR="00ED2445" w:rsidRPr="00ED2445">
        <w:rPr>
          <w:rFonts w:asciiTheme="minorHAnsi" w:hAnsiTheme="minorHAnsi" w:cstheme="minorHAnsi"/>
        </w:rPr>
        <w:t xml:space="preserve"> powers). Parish councils have a wide range of powers under different acts of Parliament. Most of these powers are discretionary, </w:t>
      </w:r>
      <w:r w:rsidR="0046792B" w:rsidRPr="00CD4F11">
        <w:rPr>
          <w:rFonts w:asciiTheme="minorHAnsi" w:hAnsiTheme="minorHAnsi" w:cstheme="minorHAnsi"/>
        </w:rPr>
        <w:t>i.e.,</w:t>
      </w:r>
      <w:r w:rsidR="00ED2445" w:rsidRPr="00ED2445">
        <w:rPr>
          <w:rFonts w:asciiTheme="minorHAnsi" w:hAnsiTheme="minorHAnsi" w:cstheme="minorHAnsi"/>
        </w:rPr>
        <w:t xml:space="preserve"> a council may do something, rather than it must do something.</w:t>
      </w:r>
    </w:p>
    <w:p w14:paraId="267F6879" w14:textId="77777777" w:rsidR="003C7995" w:rsidRPr="00CD4F11" w:rsidRDefault="003C7995" w:rsidP="00CD4F11">
      <w:pPr>
        <w:spacing w:line="276" w:lineRule="auto"/>
        <w:jc w:val="both"/>
        <w:rPr>
          <w:rFonts w:asciiTheme="minorHAnsi" w:hAnsiTheme="minorHAnsi" w:cstheme="minorHAnsi"/>
        </w:rPr>
      </w:pPr>
    </w:p>
    <w:p w14:paraId="266DCD19" w14:textId="5305F471" w:rsidR="00B00BAD" w:rsidRPr="00CD4F11" w:rsidRDefault="000A3FAD" w:rsidP="00CD4F11">
      <w:pPr>
        <w:spacing w:line="276" w:lineRule="auto"/>
        <w:jc w:val="both"/>
        <w:rPr>
          <w:rFonts w:asciiTheme="minorHAnsi" w:hAnsiTheme="minorHAnsi" w:cstheme="minorHAnsi"/>
        </w:rPr>
      </w:pPr>
      <w:r w:rsidRPr="00CD4F11">
        <w:rPr>
          <w:rFonts w:asciiTheme="minorHAnsi" w:hAnsiTheme="minorHAnsi" w:cstheme="minorHAnsi"/>
        </w:rPr>
        <w:t>The</w:t>
      </w:r>
      <w:r w:rsidR="00ED2445" w:rsidRPr="00ED2445">
        <w:rPr>
          <w:rFonts w:asciiTheme="minorHAnsi" w:hAnsiTheme="minorHAnsi" w:cstheme="minorHAnsi"/>
        </w:rPr>
        <w:t xml:space="preserve"> parish council has the unfettered right to raise money by precept (a mandatory demand) on the district council. The precept required by </w:t>
      </w:r>
      <w:r w:rsidR="00CC663B" w:rsidRPr="00CD4F11">
        <w:rPr>
          <w:rFonts w:asciiTheme="minorHAnsi" w:hAnsiTheme="minorHAnsi" w:cstheme="minorHAnsi"/>
        </w:rPr>
        <w:t>the</w:t>
      </w:r>
      <w:r w:rsidR="00ED2445" w:rsidRPr="00ED2445">
        <w:rPr>
          <w:rFonts w:asciiTheme="minorHAnsi" w:hAnsiTheme="minorHAnsi" w:cstheme="minorHAnsi"/>
        </w:rPr>
        <w:t xml:space="preserve"> parish council is then collected by </w:t>
      </w:r>
      <w:r w:rsidRPr="00CD4F11">
        <w:rPr>
          <w:rFonts w:asciiTheme="minorHAnsi" w:hAnsiTheme="minorHAnsi" w:cstheme="minorHAnsi"/>
        </w:rPr>
        <w:t>West Northants</w:t>
      </w:r>
      <w:r w:rsidR="00ED2445" w:rsidRPr="00ED2445">
        <w:rPr>
          <w:rFonts w:asciiTheme="minorHAnsi" w:hAnsiTheme="minorHAnsi" w:cstheme="minorHAnsi"/>
        </w:rPr>
        <w:t xml:space="preserve"> council as part of the council tax levied on </w:t>
      </w:r>
      <w:r w:rsidR="0046792B" w:rsidRPr="00CD4F11">
        <w:rPr>
          <w:rFonts w:asciiTheme="minorHAnsi" w:hAnsiTheme="minorHAnsi" w:cstheme="minorHAnsi"/>
        </w:rPr>
        <w:t>taxpayers</w:t>
      </w:r>
      <w:r w:rsidR="00ED2445" w:rsidRPr="00ED2445">
        <w:rPr>
          <w:rFonts w:asciiTheme="minorHAnsi" w:hAnsiTheme="minorHAnsi" w:cstheme="minorHAnsi"/>
        </w:rPr>
        <w:t xml:space="preserve"> in that parish.</w:t>
      </w:r>
    </w:p>
    <w:p w14:paraId="123D8F15" w14:textId="5EA6D40C" w:rsidR="003C7995" w:rsidRPr="00CD4F11" w:rsidRDefault="003C7995" w:rsidP="00CD4F11">
      <w:pPr>
        <w:spacing w:line="276" w:lineRule="auto"/>
        <w:jc w:val="both"/>
        <w:rPr>
          <w:rFonts w:asciiTheme="minorHAnsi" w:hAnsiTheme="minorHAnsi" w:cstheme="minorHAnsi"/>
        </w:rPr>
      </w:pPr>
    </w:p>
    <w:p w14:paraId="24316FFF" w14:textId="2943B298" w:rsidR="003C7995" w:rsidRPr="00CD4F11" w:rsidRDefault="0095054C" w:rsidP="00CD4F11">
      <w:pPr>
        <w:spacing w:line="276" w:lineRule="auto"/>
        <w:jc w:val="both"/>
        <w:rPr>
          <w:rFonts w:asciiTheme="minorHAnsi" w:hAnsiTheme="minorHAnsi" w:cstheme="minorHAnsi"/>
        </w:rPr>
      </w:pPr>
      <w:r w:rsidRPr="00CD4F11">
        <w:rPr>
          <w:rFonts w:asciiTheme="minorHAnsi" w:hAnsiTheme="minorHAnsi" w:cstheme="minorHAnsi"/>
        </w:rPr>
        <w:t>All parish councils are under a statutory duty to produce a budget, and w</w:t>
      </w:r>
      <w:r w:rsidR="003C7995" w:rsidRPr="00CD4F11">
        <w:rPr>
          <w:rFonts w:asciiTheme="minorHAnsi" w:hAnsiTheme="minorHAnsi" w:cstheme="minorHAnsi"/>
        </w:rPr>
        <w:t>e aim to start preparing our budget in the autumn for the following financial year with a view to setting the precept at the December/ January meeting. The Council Tax Referendum Principles do not apply to the parish council currently and there is no indication that the government plans to introduce “capping” for parish and town councils in the future.</w:t>
      </w:r>
      <w:r w:rsidRPr="00CD4F11">
        <w:rPr>
          <w:rFonts w:asciiTheme="minorHAnsi" w:hAnsiTheme="minorHAnsi" w:cstheme="minorHAnsi"/>
        </w:rPr>
        <w:t xml:space="preserve"> </w:t>
      </w:r>
      <w:proofErr w:type="gramStart"/>
      <w:r w:rsidR="003C7995" w:rsidRPr="00CD4F11">
        <w:rPr>
          <w:rFonts w:asciiTheme="minorHAnsi" w:hAnsiTheme="minorHAnsi" w:cstheme="minorHAnsi"/>
        </w:rPr>
        <w:t>A number of</w:t>
      </w:r>
      <w:proofErr w:type="gramEnd"/>
      <w:r w:rsidR="003C7995" w:rsidRPr="00CD4F11">
        <w:rPr>
          <w:rFonts w:asciiTheme="minorHAnsi" w:hAnsiTheme="minorHAnsi" w:cstheme="minorHAnsi"/>
        </w:rPr>
        <w:t xml:space="preserve"> District, Borough, and County Councils have gone on record as saying that the cost-of-living crisis is causing a funding gap far worse than anything experienced previously, including austerity.  Historically, the higher tier authorities have been “capped” at 2% to 5% increases in council tax, with costs estimated by some authorities to have increased by 15% or more.  </w:t>
      </w:r>
    </w:p>
    <w:p w14:paraId="4DD88D5C" w14:textId="669049C0" w:rsidR="00321EDF" w:rsidRPr="00CD4F11" w:rsidRDefault="00321EDF" w:rsidP="00CD4F11">
      <w:pPr>
        <w:jc w:val="both"/>
        <w:rPr>
          <w:rFonts w:asciiTheme="minorHAnsi" w:hAnsiTheme="minorHAnsi" w:cstheme="minorHAnsi"/>
        </w:rPr>
      </w:pPr>
    </w:p>
    <w:p w14:paraId="486A3F7D" w14:textId="52318DC9" w:rsidR="0095054C" w:rsidRPr="00CD4F11" w:rsidRDefault="0095054C" w:rsidP="00CD4F11">
      <w:pPr>
        <w:spacing w:line="276" w:lineRule="auto"/>
        <w:jc w:val="both"/>
        <w:rPr>
          <w:rFonts w:asciiTheme="minorHAnsi" w:hAnsiTheme="minorHAnsi" w:cstheme="minorHAnsi"/>
        </w:rPr>
      </w:pPr>
      <w:r w:rsidRPr="00CD4F11">
        <w:rPr>
          <w:rFonts w:asciiTheme="minorHAnsi" w:hAnsiTheme="minorHAnsi" w:cstheme="minorHAnsi"/>
        </w:rPr>
        <w:t xml:space="preserve">The latest Consumer Prices Index (CPI) annual rate is at 10.7% </w:t>
      </w:r>
      <w:r w:rsidR="00090753">
        <w:rPr>
          <w:rFonts w:asciiTheme="minorHAnsi" w:hAnsiTheme="minorHAnsi" w:cstheme="minorHAnsi"/>
        </w:rPr>
        <w:t xml:space="preserve">(Nov) </w:t>
      </w:r>
      <w:r w:rsidRPr="00CD4F11">
        <w:rPr>
          <w:rFonts w:asciiTheme="minorHAnsi" w:hAnsiTheme="minorHAnsi" w:cstheme="minorHAnsi"/>
        </w:rPr>
        <w:t xml:space="preserve">and </w:t>
      </w:r>
      <w:r w:rsidR="00090753">
        <w:rPr>
          <w:rFonts w:asciiTheme="minorHAnsi" w:hAnsiTheme="minorHAnsi" w:cstheme="minorHAnsi"/>
        </w:rPr>
        <w:t>anticipated</w:t>
      </w:r>
      <w:r w:rsidRPr="00CD4F11">
        <w:rPr>
          <w:rFonts w:asciiTheme="minorHAnsi" w:hAnsiTheme="minorHAnsi" w:cstheme="minorHAnsi"/>
        </w:rPr>
        <w:t xml:space="preserve"> to peak at up to 14% </w:t>
      </w:r>
      <w:r w:rsidR="00090753">
        <w:rPr>
          <w:rFonts w:asciiTheme="minorHAnsi" w:hAnsiTheme="minorHAnsi" w:cstheme="minorHAnsi"/>
        </w:rPr>
        <w:t>by end</w:t>
      </w:r>
      <w:r w:rsidRPr="00CD4F11">
        <w:rPr>
          <w:rFonts w:asciiTheme="minorHAnsi" w:hAnsiTheme="minorHAnsi" w:cstheme="minorHAnsi"/>
        </w:rPr>
        <w:t xml:space="preserve"> 2022 according to the British Chambers of Commerce (BCC). The BCC forecasts the rate to fall to 5.6% in 2023 and 2% in 2024. Clearly though, the economy is volatile and subject to external forces, not least global energy prices, which have been affected by the war in Ukraine, so all forecasts are inherently unreliable.</w:t>
      </w:r>
    </w:p>
    <w:p w14:paraId="04BB52DA" w14:textId="21663A22" w:rsidR="005F5CDC" w:rsidRPr="00CD4F11" w:rsidRDefault="005F5CDC" w:rsidP="00CD4F11">
      <w:pPr>
        <w:spacing w:line="276" w:lineRule="auto"/>
        <w:jc w:val="both"/>
        <w:rPr>
          <w:rFonts w:asciiTheme="minorHAnsi" w:hAnsiTheme="minorHAnsi" w:cstheme="minorHAnsi"/>
        </w:rPr>
      </w:pPr>
    </w:p>
    <w:p w14:paraId="69D0E205" w14:textId="7B283FF6" w:rsidR="005F5CDC" w:rsidRDefault="005F5CDC" w:rsidP="00CD4F11">
      <w:pPr>
        <w:spacing w:line="276" w:lineRule="auto"/>
        <w:jc w:val="both"/>
        <w:rPr>
          <w:rFonts w:asciiTheme="minorHAnsi" w:hAnsiTheme="minorHAnsi" w:cstheme="minorHAnsi"/>
        </w:rPr>
      </w:pPr>
      <w:r w:rsidRPr="00CD4F11">
        <w:rPr>
          <w:rFonts w:asciiTheme="minorHAnsi" w:hAnsiTheme="minorHAnsi" w:cstheme="minorHAnsi"/>
        </w:rPr>
        <w:t>Although the principal authority has not confirmed any plans for wholescale devolution of assets or services in 2023/24, the parish council must remain prepared for the eventuality</w:t>
      </w:r>
      <w:r w:rsidR="00965000" w:rsidRPr="00CD4F11">
        <w:rPr>
          <w:rFonts w:asciiTheme="minorHAnsi" w:hAnsiTheme="minorHAnsi" w:cstheme="minorHAnsi"/>
        </w:rPr>
        <w:t xml:space="preserve"> and is advised to ensure that we have good reserves so that if a service or asset is identified for devolution in 2023/24, the council at least has the option to consider it.</w:t>
      </w:r>
      <w:r w:rsidRPr="00CD4F11">
        <w:rPr>
          <w:rFonts w:asciiTheme="minorHAnsi" w:hAnsiTheme="minorHAnsi" w:cstheme="minorHAnsi"/>
        </w:rPr>
        <w:t xml:space="preserve"> The financial situation looks currently sound for the principal authority who are reporting a balanced position.</w:t>
      </w:r>
    </w:p>
    <w:p w14:paraId="522AADB0" w14:textId="4A561360" w:rsidR="00CD4F11" w:rsidRDefault="00CD4F11" w:rsidP="00CD4F11">
      <w:pPr>
        <w:spacing w:line="276" w:lineRule="auto"/>
        <w:jc w:val="both"/>
        <w:rPr>
          <w:rFonts w:asciiTheme="minorHAnsi" w:hAnsiTheme="minorHAnsi" w:cstheme="minorHAnsi"/>
        </w:rPr>
      </w:pPr>
    </w:p>
    <w:p w14:paraId="16F28540" w14:textId="77777777" w:rsidR="00CD4F11" w:rsidRPr="00CD4F11" w:rsidRDefault="00CD4F11" w:rsidP="00CD4F11">
      <w:pPr>
        <w:spacing w:line="276" w:lineRule="auto"/>
        <w:jc w:val="both"/>
        <w:rPr>
          <w:rFonts w:asciiTheme="minorHAnsi" w:hAnsiTheme="minorHAnsi" w:cstheme="minorHAnsi"/>
        </w:rPr>
      </w:pPr>
      <w:r w:rsidRPr="00CD4F11">
        <w:rPr>
          <w:rFonts w:asciiTheme="minorHAnsi" w:hAnsiTheme="minorHAnsi" w:cstheme="minorHAnsi"/>
        </w:rPr>
        <w:t xml:space="preserve">As we do not know if we will have an election or not until just before the election itself, we budget a nominal amount for a contested election. If we do not need the budgeted funds, then we can either </w:t>
      </w:r>
      <w:proofErr w:type="spellStart"/>
      <w:r w:rsidRPr="00CD4F11">
        <w:rPr>
          <w:rFonts w:asciiTheme="minorHAnsi" w:hAnsiTheme="minorHAnsi" w:cstheme="minorHAnsi"/>
        </w:rPr>
        <w:t>vire</w:t>
      </w:r>
      <w:proofErr w:type="spellEnd"/>
      <w:r w:rsidRPr="00CD4F11">
        <w:rPr>
          <w:rFonts w:asciiTheme="minorHAnsi" w:hAnsiTheme="minorHAnsi" w:cstheme="minorHAnsi"/>
        </w:rPr>
        <w:t xml:space="preserve"> them to another purpose or keep them for the 2027 elections.</w:t>
      </w:r>
    </w:p>
    <w:p w14:paraId="70EE931B" w14:textId="77777777" w:rsidR="00CD4F11" w:rsidRPr="00CD4F11" w:rsidRDefault="00CD4F11" w:rsidP="00CD4F11">
      <w:pPr>
        <w:spacing w:line="276" w:lineRule="auto"/>
        <w:jc w:val="both"/>
        <w:rPr>
          <w:rFonts w:asciiTheme="minorHAnsi" w:hAnsiTheme="minorHAnsi" w:cstheme="minorHAnsi"/>
        </w:rPr>
      </w:pPr>
    </w:p>
    <w:p w14:paraId="63322CEE" w14:textId="7A36872E" w:rsidR="00CD4F11" w:rsidRPr="00CD4F11" w:rsidRDefault="00CD4F11" w:rsidP="00CD4F11">
      <w:pPr>
        <w:spacing w:line="276" w:lineRule="auto"/>
        <w:jc w:val="both"/>
        <w:rPr>
          <w:rFonts w:asciiTheme="minorHAnsi" w:hAnsiTheme="minorHAnsi" w:cstheme="minorHAnsi"/>
        </w:rPr>
      </w:pPr>
      <w:r w:rsidRPr="00CD4F11">
        <w:rPr>
          <w:rFonts w:asciiTheme="minorHAnsi" w:hAnsiTheme="minorHAnsi" w:cstheme="minorHAnsi"/>
        </w:rPr>
        <w:t>Council holds general reserves and earmarked reserves. There is no limit at all on earmarked reserves, which are held for particular purpose</w:t>
      </w:r>
      <w:r w:rsidR="00090753">
        <w:rPr>
          <w:rFonts w:asciiTheme="minorHAnsi" w:hAnsiTheme="minorHAnsi" w:cstheme="minorHAnsi"/>
        </w:rPr>
        <w:t>, such as</w:t>
      </w:r>
      <w:r w:rsidRPr="00CD4F11">
        <w:rPr>
          <w:rFonts w:asciiTheme="minorHAnsi" w:hAnsiTheme="minorHAnsi" w:cstheme="minorHAnsi"/>
        </w:rPr>
        <w:t xml:space="preserve"> long-term capital projects or </w:t>
      </w:r>
      <w:r w:rsidRPr="00CD4F11">
        <w:rPr>
          <w:rFonts w:asciiTheme="minorHAnsi" w:hAnsiTheme="minorHAnsi" w:cstheme="minorHAnsi"/>
        </w:rPr>
        <w:lastRenderedPageBreak/>
        <w:t>acquisitions.  Advice on the appropriate level of general reserves suggests these should be maintained at between three (3) and twelve (12) months Net Revenue Expenditure (NRE)”, where NRE = Precept minus (loan repayments + capital projects + transfers to earmarked reserves).  Having healthy general reserves gives council more options, particularly in an operating environment that is uncertain.</w:t>
      </w:r>
    </w:p>
    <w:p w14:paraId="1BFE7207" w14:textId="2E0ED1FA" w:rsidR="00321EDF" w:rsidRPr="00CD4F11" w:rsidRDefault="00321EDF" w:rsidP="00CD4F11">
      <w:pPr>
        <w:jc w:val="both"/>
        <w:rPr>
          <w:rFonts w:asciiTheme="minorHAnsi" w:hAnsiTheme="minorHAnsi" w:cstheme="minorHAnsi"/>
        </w:rPr>
      </w:pPr>
    </w:p>
    <w:p w14:paraId="099A266F" w14:textId="2BECCD86" w:rsidR="009B37ED" w:rsidRPr="00CD4F11" w:rsidRDefault="009B37ED" w:rsidP="00CD4F11">
      <w:pPr>
        <w:jc w:val="both"/>
        <w:rPr>
          <w:rFonts w:asciiTheme="minorHAnsi" w:hAnsiTheme="minorHAnsi" w:cstheme="minorHAnsi"/>
          <w:b/>
          <w:bCs/>
        </w:rPr>
      </w:pPr>
      <w:r w:rsidRPr="00CD4F11">
        <w:rPr>
          <w:rFonts w:asciiTheme="minorHAnsi" w:hAnsiTheme="minorHAnsi" w:cstheme="minorHAnsi"/>
          <w:b/>
          <w:bCs/>
        </w:rPr>
        <w:t>Middleton Cheney Parish</w:t>
      </w:r>
      <w:r w:rsidR="00CD4F11" w:rsidRPr="00CD4F11">
        <w:rPr>
          <w:rFonts w:asciiTheme="minorHAnsi" w:hAnsiTheme="minorHAnsi" w:cstheme="minorHAnsi"/>
          <w:b/>
          <w:bCs/>
        </w:rPr>
        <w:t xml:space="preserve"> Council Precept 5-Years</w:t>
      </w:r>
    </w:p>
    <w:tbl>
      <w:tblPr>
        <w:tblW w:w="7660" w:type="dxa"/>
        <w:tblLook w:val="04A0" w:firstRow="1" w:lastRow="0" w:firstColumn="1" w:lastColumn="0" w:noHBand="0" w:noVBand="1"/>
      </w:tblPr>
      <w:tblGrid>
        <w:gridCol w:w="2020"/>
        <w:gridCol w:w="1920"/>
        <w:gridCol w:w="2040"/>
        <w:gridCol w:w="1680"/>
      </w:tblGrid>
      <w:tr w:rsidR="00CD4F11" w14:paraId="19AB1963" w14:textId="77777777" w:rsidTr="00CD4F11">
        <w:trPr>
          <w:trHeight w:val="300"/>
        </w:trPr>
        <w:tc>
          <w:tcPr>
            <w:tcW w:w="2020" w:type="dxa"/>
            <w:tcBorders>
              <w:top w:val="single" w:sz="4" w:space="0" w:color="4472C4"/>
              <w:left w:val="nil"/>
              <w:bottom w:val="single" w:sz="4" w:space="0" w:color="4472C4"/>
              <w:right w:val="nil"/>
            </w:tcBorders>
            <w:shd w:val="clear" w:color="auto" w:fill="auto"/>
            <w:noWrap/>
            <w:vAlign w:val="bottom"/>
            <w:hideMark/>
          </w:tcPr>
          <w:p w14:paraId="500C4957" w14:textId="77777777" w:rsidR="00CD4F11" w:rsidRDefault="00CD4F11">
            <w:pPr>
              <w:jc w:val="center"/>
              <w:rPr>
                <w:rFonts w:ascii="Calibri" w:hAnsi="Calibri" w:cs="Calibri"/>
                <w:b/>
                <w:bCs/>
                <w:color w:val="305496"/>
                <w:sz w:val="22"/>
                <w:szCs w:val="22"/>
              </w:rPr>
            </w:pPr>
            <w:r>
              <w:rPr>
                <w:rFonts w:ascii="Calibri" w:hAnsi="Calibri" w:cs="Calibri"/>
                <w:b/>
                <w:bCs/>
                <w:color w:val="305496"/>
                <w:sz w:val="22"/>
                <w:szCs w:val="22"/>
              </w:rPr>
              <w:t>Year</w:t>
            </w:r>
          </w:p>
        </w:tc>
        <w:tc>
          <w:tcPr>
            <w:tcW w:w="1920" w:type="dxa"/>
            <w:tcBorders>
              <w:top w:val="single" w:sz="4" w:space="0" w:color="4472C4"/>
              <w:left w:val="nil"/>
              <w:bottom w:val="single" w:sz="4" w:space="0" w:color="4472C4"/>
              <w:right w:val="nil"/>
            </w:tcBorders>
            <w:shd w:val="clear" w:color="auto" w:fill="auto"/>
            <w:noWrap/>
            <w:vAlign w:val="bottom"/>
            <w:hideMark/>
          </w:tcPr>
          <w:p w14:paraId="0266672D" w14:textId="77777777" w:rsidR="00CD4F11" w:rsidRDefault="00CD4F11">
            <w:pPr>
              <w:jc w:val="center"/>
              <w:rPr>
                <w:rFonts w:ascii="Calibri" w:hAnsi="Calibri" w:cs="Calibri"/>
                <w:b/>
                <w:bCs/>
                <w:color w:val="305496"/>
                <w:sz w:val="22"/>
                <w:szCs w:val="22"/>
              </w:rPr>
            </w:pPr>
            <w:r>
              <w:rPr>
                <w:rFonts w:ascii="Calibri" w:hAnsi="Calibri" w:cs="Calibri"/>
                <w:b/>
                <w:bCs/>
                <w:color w:val="305496"/>
                <w:sz w:val="22"/>
                <w:szCs w:val="22"/>
              </w:rPr>
              <w:t>Precept</w:t>
            </w:r>
          </w:p>
        </w:tc>
        <w:tc>
          <w:tcPr>
            <w:tcW w:w="2040" w:type="dxa"/>
            <w:tcBorders>
              <w:top w:val="single" w:sz="4" w:space="0" w:color="4472C4"/>
              <w:left w:val="nil"/>
              <w:bottom w:val="single" w:sz="4" w:space="0" w:color="4472C4"/>
              <w:right w:val="nil"/>
            </w:tcBorders>
            <w:shd w:val="clear" w:color="auto" w:fill="auto"/>
            <w:noWrap/>
            <w:vAlign w:val="bottom"/>
            <w:hideMark/>
          </w:tcPr>
          <w:p w14:paraId="2D90D149" w14:textId="77777777" w:rsidR="00CD4F11" w:rsidRDefault="00CD4F11">
            <w:pPr>
              <w:jc w:val="center"/>
              <w:rPr>
                <w:rFonts w:ascii="Calibri" w:hAnsi="Calibri" w:cs="Calibri"/>
                <w:b/>
                <w:bCs/>
                <w:color w:val="305496"/>
                <w:sz w:val="22"/>
                <w:szCs w:val="22"/>
              </w:rPr>
            </w:pPr>
            <w:r>
              <w:rPr>
                <w:rFonts w:ascii="Calibri" w:hAnsi="Calibri" w:cs="Calibri"/>
                <w:b/>
                <w:bCs/>
                <w:color w:val="305496"/>
                <w:sz w:val="22"/>
                <w:szCs w:val="22"/>
              </w:rPr>
              <w:t>Difference</w:t>
            </w:r>
          </w:p>
        </w:tc>
        <w:tc>
          <w:tcPr>
            <w:tcW w:w="1680" w:type="dxa"/>
            <w:tcBorders>
              <w:top w:val="single" w:sz="4" w:space="0" w:color="4472C4"/>
              <w:left w:val="nil"/>
              <w:bottom w:val="single" w:sz="4" w:space="0" w:color="4472C4"/>
              <w:right w:val="nil"/>
            </w:tcBorders>
            <w:shd w:val="clear" w:color="auto" w:fill="auto"/>
            <w:noWrap/>
            <w:vAlign w:val="bottom"/>
            <w:hideMark/>
          </w:tcPr>
          <w:p w14:paraId="27B9B03F" w14:textId="77777777" w:rsidR="00CD4F11" w:rsidRDefault="00CD4F11">
            <w:pPr>
              <w:jc w:val="center"/>
              <w:rPr>
                <w:rFonts w:ascii="Calibri" w:hAnsi="Calibri" w:cs="Calibri"/>
                <w:b/>
                <w:bCs/>
                <w:color w:val="305496"/>
                <w:sz w:val="22"/>
                <w:szCs w:val="22"/>
              </w:rPr>
            </w:pPr>
            <w:r>
              <w:rPr>
                <w:rFonts w:ascii="Calibri" w:hAnsi="Calibri" w:cs="Calibri"/>
                <w:b/>
                <w:bCs/>
                <w:color w:val="305496"/>
                <w:sz w:val="22"/>
                <w:szCs w:val="22"/>
              </w:rPr>
              <w:t>5-Years</w:t>
            </w:r>
          </w:p>
        </w:tc>
      </w:tr>
      <w:tr w:rsidR="00CD4F11" w14:paraId="2AAB9DD6" w14:textId="77777777" w:rsidTr="00CD4F11">
        <w:trPr>
          <w:trHeight w:val="300"/>
        </w:trPr>
        <w:tc>
          <w:tcPr>
            <w:tcW w:w="2020" w:type="dxa"/>
            <w:tcBorders>
              <w:top w:val="nil"/>
              <w:left w:val="nil"/>
              <w:bottom w:val="nil"/>
              <w:right w:val="nil"/>
            </w:tcBorders>
            <w:shd w:val="clear" w:color="D9E1F2" w:fill="D9E1F2"/>
            <w:noWrap/>
            <w:vAlign w:val="bottom"/>
            <w:hideMark/>
          </w:tcPr>
          <w:p w14:paraId="53F99CCB" w14:textId="77777777" w:rsidR="00CD4F11" w:rsidRDefault="00CD4F11">
            <w:pPr>
              <w:jc w:val="center"/>
              <w:rPr>
                <w:rFonts w:ascii="Calibri" w:hAnsi="Calibri" w:cs="Calibri"/>
                <w:color w:val="305496"/>
                <w:sz w:val="22"/>
                <w:szCs w:val="22"/>
              </w:rPr>
            </w:pPr>
            <w:r>
              <w:rPr>
                <w:rFonts w:ascii="Calibri" w:hAnsi="Calibri" w:cs="Calibri"/>
                <w:color w:val="305496"/>
                <w:sz w:val="22"/>
                <w:szCs w:val="22"/>
              </w:rPr>
              <w:t>2023/24</w:t>
            </w:r>
          </w:p>
        </w:tc>
        <w:tc>
          <w:tcPr>
            <w:tcW w:w="1920" w:type="dxa"/>
            <w:tcBorders>
              <w:top w:val="nil"/>
              <w:left w:val="nil"/>
              <w:bottom w:val="nil"/>
              <w:right w:val="nil"/>
            </w:tcBorders>
            <w:shd w:val="clear" w:color="D9E1F2" w:fill="D9E1F2"/>
            <w:noWrap/>
            <w:vAlign w:val="bottom"/>
            <w:hideMark/>
          </w:tcPr>
          <w:p w14:paraId="2A00E992" w14:textId="77777777" w:rsidR="00CD4F11" w:rsidRDefault="00CD4F11">
            <w:pPr>
              <w:jc w:val="center"/>
              <w:rPr>
                <w:rFonts w:ascii="Calibri" w:hAnsi="Calibri" w:cs="Calibri"/>
                <w:color w:val="305496"/>
                <w:sz w:val="22"/>
                <w:szCs w:val="22"/>
              </w:rPr>
            </w:pPr>
            <w:r>
              <w:rPr>
                <w:rFonts w:ascii="Calibri" w:hAnsi="Calibri" w:cs="Calibri"/>
                <w:color w:val="305496"/>
                <w:sz w:val="22"/>
                <w:szCs w:val="22"/>
              </w:rPr>
              <w:t>£133,728</w:t>
            </w:r>
          </w:p>
        </w:tc>
        <w:tc>
          <w:tcPr>
            <w:tcW w:w="2040" w:type="dxa"/>
            <w:tcBorders>
              <w:top w:val="nil"/>
              <w:left w:val="nil"/>
              <w:bottom w:val="nil"/>
              <w:right w:val="nil"/>
            </w:tcBorders>
            <w:shd w:val="clear" w:color="D9E1F2" w:fill="D9E1F2"/>
            <w:noWrap/>
            <w:vAlign w:val="bottom"/>
            <w:hideMark/>
          </w:tcPr>
          <w:p w14:paraId="000D4702" w14:textId="77777777" w:rsidR="00CD4F11" w:rsidRDefault="00CD4F11">
            <w:pPr>
              <w:jc w:val="center"/>
              <w:rPr>
                <w:rFonts w:ascii="Calibri" w:hAnsi="Calibri" w:cs="Calibri"/>
                <w:color w:val="305496"/>
                <w:sz w:val="22"/>
                <w:szCs w:val="22"/>
              </w:rPr>
            </w:pPr>
            <w:r>
              <w:rPr>
                <w:rFonts w:ascii="Calibri" w:hAnsi="Calibri" w:cs="Calibri"/>
                <w:color w:val="305496"/>
                <w:sz w:val="22"/>
                <w:szCs w:val="22"/>
              </w:rPr>
              <w:t>-2.16%</w:t>
            </w:r>
          </w:p>
        </w:tc>
        <w:tc>
          <w:tcPr>
            <w:tcW w:w="1680" w:type="dxa"/>
            <w:tcBorders>
              <w:top w:val="nil"/>
              <w:left w:val="nil"/>
              <w:bottom w:val="nil"/>
              <w:right w:val="nil"/>
            </w:tcBorders>
            <w:shd w:val="clear" w:color="D9E1F2" w:fill="D9E1F2"/>
            <w:noWrap/>
            <w:vAlign w:val="bottom"/>
            <w:hideMark/>
          </w:tcPr>
          <w:p w14:paraId="1869B759" w14:textId="77777777" w:rsidR="00CD4F11" w:rsidRDefault="00CD4F11">
            <w:pPr>
              <w:jc w:val="center"/>
              <w:rPr>
                <w:rFonts w:ascii="Calibri" w:hAnsi="Calibri" w:cs="Calibri"/>
                <w:color w:val="305496"/>
                <w:sz w:val="22"/>
                <w:szCs w:val="22"/>
              </w:rPr>
            </w:pPr>
            <w:r>
              <w:rPr>
                <w:rFonts w:ascii="Calibri" w:hAnsi="Calibri" w:cs="Calibri"/>
                <w:color w:val="305496"/>
                <w:sz w:val="22"/>
                <w:szCs w:val="22"/>
              </w:rPr>
              <w:t>3.43%</w:t>
            </w:r>
          </w:p>
        </w:tc>
      </w:tr>
      <w:tr w:rsidR="00CD4F11" w14:paraId="73FC5636" w14:textId="77777777" w:rsidTr="00CD4F11">
        <w:trPr>
          <w:trHeight w:val="300"/>
        </w:trPr>
        <w:tc>
          <w:tcPr>
            <w:tcW w:w="2020" w:type="dxa"/>
            <w:tcBorders>
              <w:top w:val="nil"/>
              <w:left w:val="nil"/>
              <w:bottom w:val="nil"/>
              <w:right w:val="nil"/>
            </w:tcBorders>
            <w:shd w:val="clear" w:color="auto" w:fill="auto"/>
            <w:noWrap/>
            <w:vAlign w:val="bottom"/>
            <w:hideMark/>
          </w:tcPr>
          <w:p w14:paraId="14D2ED56" w14:textId="77777777" w:rsidR="00CD4F11" w:rsidRDefault="00CD4F11">
            <w:pPr>
              <w:jc w:val="center"/>
              <w:rPr>
                <w:rFonts w:ascii="Calibri" w:hAnsi="Calibri" w:cs="Calibri"/>
                <w:color w:val="305496"/>
                <w:sz w:val="22"/>
                <w:szCs w:val="22"/>
              </w:rPr>
            </w:pPr>
            <w:r>
              <w:rPr>
                <w:rFonts w:ascii="Calibri" w:hAnsi="Calibri" w:cs="Calibri"/>
                <w:color w:val="305496"/>
                <w:sz w:val="22"/>
                <w:szCs w:val="22"/>
              </w:rPr>
              <w:t>2022/23</w:t>
            </w:r>
          </w:p>
        </w:tc>
        <w:tc>
          <w:tcPr>
            <w:tcW w:w="1920" w:type="dxa"/>
            <w:tcBorders>
              <w:top w:val="nil"/>
              <w:left w:val="nil"/>
              <w:bottom w:val="nil"/>
              <w:right w:val="nil"/>
            </w:tcBorders>
            <w:shd w:val="clear" w:color="auto" w:fill="auto"/>
            <w:noWrap/>
            <w:vAlign w:val="bottom"/>
            <w:hideMark/>
          </w:tcPr>
          <w:p w14:paraId="7AE7AE4B" w14:textId="77777777" w:rsidR="00CD4F11" w:rsidRDefault="00CD4F11">
            <w:pPr>
              <w:jc w:val="center"/>
              <w:rPr>
                <w:rFonts w:ascii="Calibri" w:hAnsi="Calibri" w:cs="Calibri"/>
                <w:color w:val="305496"/>
                <w:sz w:val="22"/>
                <w:szCs w:val="22"/>
              </w:rPr>
            </w:pPr>
            <w:r>
              <w:rPr>
                <w:rFonts w:ascii="Calibri" w:hAnsi="Calibri" w:cs="Calibri"/>
                <w:color w:val="305496"/>
                <w:sz w:val="22"/>
                <w:szCs w:val="22"/>
              </w:rPr>
              <w:t>£136,680</w:t>
            </w:r>
          </w:p>
        </w:tc>
        <w:tc>
          <w:tcPr>
            <w:tcW w:w="2040" w:type="dxa"/>
            <w:tcBorders>
              <w:top w:val="nil"/>
              <w:left w:val="nil"/>
              <w:bottom w:val="nil"/>
              <w:right w:val="nil"/>
            </w:tcBorders>
            <w:shd w:val="clear" w:color="auto" w:fill="auto"/>
            <w:noWrap/>
            <w:vAlign w:val="bottom"/>
            <w:hideMark/>
          </w:tcPr>
          <w:p w14:paraId="251659FA" w14:textId="77777777" w:rsidR="00CD4F11" w:rsidRDefault="00CD4F11">
            <w:pPr>
              <w:jc w:val="center"/>
              <w:rPr>
                <w:rFonts w:ascii="Calibri" w:hAnsi="Calibri" w:cs="Calibri"/>
                <w:color w:val="305496"/>
                <w:sz w:val="22"/>
                <w:szCs w:val="22"/>
              </w:rPr>
            </w:pPr>
            <w:r>
              <w:rPr>
                <w:rFonts w:ascii="Calibri" w:hAnsi="Calibri" w:cs="Calibri"/>
                <w:color w:val="305496"/>
                <w:sz w:val="22"/>
                <w:szCs w:val="22"/>
              </w:rPr>
              <w:t>-14.40%</w:t>
            </w:r>
          </w:p>
        </w:tc>
        <w:tc>
          <w:tcPr>
            <w:tcW w:w="1680" w:type="dxa"/>
            <w:tcBorders>
              <w:top w:val="nil"/>
              <w:left w:val="nil"/>
              <w:bottom w:val="nil"/>
              <w:right w:val="nil"/>
            </w:tcBorders>
            <w:shd w:val="clear" w:color="auto" w:fill="auto"/>
            <w:noWrap/>
            <w:vAlign w:val="bottom"/>
            <w:hideMark/>
          </w:tcPr>
          <w:p w14:paraId="6586807E" w14:textId="77777777" w:rsidR="00CD4F11" w:rsidRDefault="00CD4F11">
            <w:pPr>
              <w:jc w:val="center"/>
              <w:rPr>
                <w:rFonts w:ascii="Calibri" w:hAnsi="Calibri" w:cs="Calibri"/>
                <w:color w:val="305496"/>
                <w:sz w:val="22"/>
                <w:szCs w:val="22"/>
              </w:rPr>
            </w:pPr>
          </w:p>
        </w:tc>
      </w:tr>
      <w:tr w:rsidR="00CD4F11" w14:paraId="44778957" w14:textId="77777777" w:rsidTr="00CD4F11">
        <w:trPr>
          <w:trHeight w:val="300"/>
        </w:trPr>
        <w:tc>
          <w:tcPr>
            <w:tcW w:w="2020" w:type="dxa"/>
            <w:tcBorders>
              <w:top w:val="nil"/>
              <w:left w:val="nil"/>
              <w:bottom w:val="nil"/>
              <w:right w:val="nil"/>
            </w:tcBorders>
            <w:shd w:val="clear" w:color="D9E1F2" w:fill="D9E1F2"/>
            <w:noWrap/>
            <w:vAlign w:val="bottom"/>
            <w:hideMark/>
          </w:tcPr>
          <w:p w14:paraId="328439CC" w14:textId="77777777" w:rsidR="00CD4F11" w:rsidRDefault="00CD4F11">
            <w:pPr>
              <w:jc w:val="center"/>
              <w:rPr>
                <w:rFonts w:ascii="Calibri" w:hAnsi="Calibri" w:cs="Calibri"/>
                <w:color w:val="305496"/>
                <w:sz w:val="22"/>
                <w:szCs w:val="22"/>
              </w:rPr>
            </w:pPr>
            <w:r>
              <w:rPr>
                <w:rFonts w:ascii="Calibri" w:hAnsi="Calibri" w:cs="Calibri"/>
                <w:color w:val="305496"/>
                <w:sz w:val="22"/>
                <w:szCs w:val="22"/>
              </w:rPr>
              <w:t>2021/22</w:t>
            </w:r>
          </w:p>
        </w:tc>
        <w:tc>
          <w:tcPr>
            <w:tcW w:w="1920" w:type="dxa"/>
            <w:tcBorders>
              <w:top w:val="nil"/>
              <w:left w:val="nil"/>
              <w:bottom w:val="nil"/>
              <w:right w:val="nil"/>
            </w:tcBorders>
            <w:shd w:val="clear" w:color="D9E1F2" w:fill="D9E1F2"/>
            <w:noWrap/>
            <w:vAlign w:val="bottom"/>
            <w:hideMark/>
          </w:tcPr>
          <w:p w14:paraId="15AA1B68" w14:textId="77777777" w:rsidR="00CD4F11" w:rsidRDefault="00CD4F11">
            <w:pPr>
              <w:jc w:val="center"/>
              <w:rPr>
                <w:rFonts w:ascii="Calibri" w:hAnsi="Calibri" w:cs="Calibri"/>
                <w:color w:val="305496"/>
                <w:sz w:val="22"/>
                <w:szCs w:val="22"/>
              </w:rPr>
            </w:pPr>
            <w:r>
              <w:rPr>
                <w:rFonts w:ascii="Calibri" w:hAnsi="Calibri" w:cs="Calibri"/>
                <w:color w:val="305496"/>
                <w:sz w:val="22"/>
                <w:szCs w:val="22"/>
              </w:rPr>
              <w:t>£159,680</w:t>
            </w:r>
          </w:p>
        </w:tc>
        <w:tc>
          <w:tcPr>
            <w:tcW w:w="2040" w:type="dxa"/>
            <w:tcBorders>
              <w:top w:val="nil"/>
              <w:left w:val="nil"/>
              <w:bottom w:val="nil"/>
              <w:right w:val="nil"/>
            </w:tcBorders>
            <w:shd w:val="clear" w:color="D9E1F2" w:fill="D9E1F2"/>
            <w:noWrap/>
            <w:vAlign w:val="bottom"/>
            <w:hideMark/>
          </w:tcPr>
          <w:p w14:paraId="39EA2585" w14:textId="77777777" w:rsidR="00CD4F11" w:rsidRDefault="00CD4F11">
            <w:pPr>
              <w:jc w:val="center"/>
              <w:rPr>
                <w:rFonts w:ascii="Calibri" w:hAnsi="Calibri" w:cs="Calibri"/>
                <w:color w:val="305496"/>
                <w:sz w:val="22"/>
                <w:szCs w:val="22"/>
              </w:rPr>
            </w:pPr>
            <w:r>
              <w:rPr>
                <w:rFonts w:ascii="Calibri" w:hAnsi="Calibri" w:cs="Calibri"/>
                <w:color w:val="305496"/>
                <w:sz w:val="22"/>
                <w:szCs w:val="22"/>
              </w:rPr>
              <w:t>22.12%</w:t>
            </w:r>
          </w:p>
        </w:tc>
        <w:tc>
          <w:tcPr>
            <w:tcW w:w="1680" w:type="dxa"/>
            <w:tcBorders>
              <w:top w:val="nil"/>
              <w:left w:val="nil"/>
              <w:bottom w:val="nil"/>
              <w:right w:val="nil"/>
            </w:tcBorders>
            <w:shd w:val="clear" w:color="D9E1F2" w:fill="D9E1F2"/>
            <w:noWrap/>
            <w:vAlign w:val="bottom"/>
            <w:hideMark/>
          </w:tcPr>
          <w:p w14:paraId="66AE36C1" w14:textId="77777777" w:rsidR="00CD4F11" w:rsidRDefault="00CD4F11">
            <w:pPr>
              <w:jc w:val="center"/>
              <w:rPr>
                <w:rFonts w:ascii="Calibri" w:hAnsi="Calibri" w:cs="Calibri"/>
                <w:color w:val="305496"/>
                <w:sz w:val="22"/>
                <w:szCs w:val="22"/>
              </w:rPr>
            </w:pPr>
          </w:p>
        </w:tc>
      </w:tr>
      <w:tr w:rsidR="00CD4F11" w14:paraId="70771835" w14:textId="77777777" w:rsidTr="00CD4F11">
        <w:trPr>
          <w:trHeight w:val="300"/>
        </w:trPr>
        <w:tc>
          <w:tcPr>
            <w:tcW w:w="2020" w:type="dxa"/>
            <w:tcBorders>
              <w:top w:val="nil"/>
              <w:left w:val="nil"/>
              <w:bottom w:val="nil"/>
              <w:right w:val="nil"/>
            </w:tcBorders>
            <w:shd w:val="clear" w:color="auto" w:fill="auto"/>
            <w:noWrap/>
            <w:vAlign w:val="bottom"/>
            <w:hideMark/>
          </w:tcPr>
          <w:p w14:paraId="38DCB8C8" w14:textId="77777777" w:rsidR="00CD4F11" w:rsidRDefault="00CD4F11">
            <w:pPr>
              <w:jc w:val="center"/>
              <w:rPr>
                <w:rFonts w:ascii="Calibri" w:hAnsi="Calibri" w:cs="Calibri"/>
                <w:color w:val="305496"/>
                <w:sz w:val="22"/>
                <w:szCs w:val="22"/>
              </w:rPr>
            </w:pPr>
            <w:r>
              <w:rPr>
                <w:rFonts w:ascii="Calibri" w:hAnsi="Calibri" w:cs="Calibri"/>
                <w:color w:val="305496"/>
                <w:sz w:val="22"/>
                <w:szCs w:val="22"/>
              </w:rPr>
              <w:t>2020/21</w:t>
            </w:r>
          </w:p>
        </w:tc>
        <w:tc>
          <w:tcPr>
            <w:tcW w:w="1920" w:type="dxa"/>
            <w:tcBorders>
              <w:top w:val="nil"/>
              <w:left w:val="nil"/>
              <w:bottom w:val="nil"/>
              <w:right w:val="nil"/>
            </w:tcBorders>
            <w:shd w:val="clear" w:color="auto" w:fill="auto"/>
            <w:noWrap/>
            <w:vAlign w:val="bottom"/>
            <w:hideMark/>
          </w:tcPr>
          <w:p w14:paraId="06A992E6" w14:textId="77777777" w:rsidR="00CD4F11" w:rsidRDefault="00CD4F11">
            <w:pPr>
              <w:jc w:val="center"/>
              <w:rPr>
                <w:rFonts w:ascii="Calibri" w:hAnsi="Calibri" w:cs="Calibri"/>
                <w:color w:val="305496"/>
                <w:sz w:val="22"/>
                <w:szCs w:val="22"/>
              </w:rPr>
            </w:pPr>
            <w:r>
              <w:rPr>
                <w:rFonts w:ascii="Calibri" w:hAnsi="Calibri" w:cs="Calibri"/>
                <w:color w:val="305496"/>
                <w:sz w:val="22"/>
                <w:szCs w:val="22"/>
              </w:rPr>
              <w:t>£130,757</w:t>
            </w:r>
          </w:p>
        </w:tc>
        <w:tc>
          <w:tcPr>
            <w:tcW w:w="2040" w:type="dxa"/>
            <w:tcBorders>
              <w:top w:val="nil"/>
              <w:left w:val="nil"/>
              <w:bottom w:val="nil"/>
              <w:right w:val="nil"/>
            </w:tcBorders>
            <w:shd w:val="clear" w:color="auto" w:fill="auto"/>
            <w:noWrap/>
            <w:vAlign w:val="bottom"/>
            <w:hideMark/>
          </w:tcPr>
          <w:p w14:paraId="3275248C" w14:textId="77777777" w:rsidR="00CD4F11" w:rsidRDefault="00CD4F11">
            <w:pPr>
              <w:jc w:val="center"/>
              <w:rPr>
                <w:rFonts w:ascii="Calibri" w:hAnsi="Calibri" w:cs="Calibri"/>
                <w:color w:val="305496"/>
                <w:sz w:val="22"/>
                <w:szCs w:val="22"/>
              </w:rPr>
            </w:pPr>
            <w:r>
              <w:rPr>
                <w:rFonts w:ascii="Calibri" w:hAnsi="Calibri" w:cs="Calibri"/>
                <w:color w:val="305496"/>
                <w:sz w:val="22"/>
                <w:szCs w:val="22"/>
              </w:rPr>
              <w:t>1.13%</w:t>
            </w:r>
          </w:p>
        </w:tc>
        <w:tc>
          <w:tcPr>
            <w:tcW w:w="1680" w:type="dxa"/>
            <w:tcBorders>
              <w:top w:val="nil"/>
              <w:left w:val="nil"/>
              <w:bottom w:val="nil"/>
              <w:right w:val="nil"/>
            </w:tcBorders>
            <w:shd w:val="clear" w:color="auto" w:fill="auto"/>
            <w:noWrap/>
            <w:vAlign w:val="bottom"/>
            <w:hideMark/>
          </w:tcPr>
          <w:p w14:paraId="5307E207" w14:textId="77777777" w:rsidR="00CD4F11" w:rsidRDefault="00CD4F11">
            <w:pPr>
              <w:jc w:val="center"/>
              <w:rPr>
                <w:rFonts w:ascii="Calibri" w:hAnsi="Calibri" w:cs="Calibri"/>
                <w:color w:val="305496"/>
                <w:sz w:val="22"/>
                <w:szCs w:val="22"/>
              </w:rPr>
            </w:pPr>
          </w:p>
        </w:tc>
      </w:tr>
      <w:tr w:rsidR="00CD4F11" w14:paraId="737263FB" w14:textId="77777777" w:rsidTr="00CD4F11">
        <w:trPr>
          <w:trHeight w:val="300"/>
        </w:trPr>
        <w:tc>
          <w:tcPr>
            <w:tcW w:w="2020" w:type="dxa"/>
            <w:tcBorders>
              <w:top w:val="nil"/>
              <w:left w:val="nil"/>
              <w:bottom w:val="single" w:sz="4" w:space="0" w:color="4472C4"/>
              <w:right w:val="nil"/>
            </w:tcBorders>
            <w:shd w:val="clear" w:color="D9E1F2" w:fill="D9E1F2"/>
            <w:noWrap/>
            <w:vAlign w:val="bottom"/>
            <w:hideMark/>
          </w:tcPr>
          <w:p w14:paraId="23E89826" w14:textId="77777777" w:rsidR="00CD4F11" w:rsidRDefault="00CD4F11">
            <w:pPr>
              <w:jc w:val="center"/>
              <w:rPr>
                <w:rFonts w:ascii="Calibri" w:hAnsi="Calibri" w:cs="Calibri"/>
                <w:color w:val="305496"/>
                <w:sz w:val="22"/>
                <w:szCs w:val="22"/>
              </w:rPr>
            </w:pPr>
            <w:r>
              <w:rPr>
                <w:rFonts w:ascii="Calibri" w:hAnsi="Calibri" w:cs="Calibri"/>
                <w:color w:val="305496"/>
                <w:sz w:val="22"/>
                <w:szCs w:val="22"/>
              </w:rPr>
              <w:t>2019/20</w:t>
            </w:r>
          </w:p>
        </w:tc>
        <w:tc>
          <w:tcPr>
            <w:tcW w:w="1920" w:type="dxa"/>
            <w:tcBorders>
              <w:top w:val="nil"/>
              <w:left w:val="nil"/>
              <w:bottom w:val="single" w:sz="4" w:space="0" w:color="4472C4"/>
              <w:right w:val="nil"/>
            </w:tcBorders>
            <w:shd w:val="clear" w:color="D9E1F2" w:fill="D9E1F2"/>
            <w:noWrap/>
            <w:vAlign w:val="bottom"/>
            <w:hideMark/>
          </w:tcPr>
          <w:p w14:paraId="2D21BD0D" w14:textId="77777777" w:rsidR="00CD4F11" w:rsidRDefault="00CD4F11">
            <w:pPr>
              <w:jc w:val="center"/>
              <w:rPr>
                <w:rFonts w:ascii="Calibri" w:hAnsi="Calibri" w:cs="Calibri"/>
                <w:color w:val="305496"/>
                <w:sz w:val="22"/>
                <w:szCs w:val="22"/>
              </w:rPr>
            </w:pPr>
            <w:r>
              <w:rPr>
                <w:rFonts w:ascii="Calibri" w:hAnsi="Calibri" w:cs="Calibri"/>
                <w:color w:val="305496"/>
                <w:sz w:val="22"/>
                <w:szCs w:val="22"/>
              </w:rPr>
              <w:t>£129,297</w:t>
            </w:r>
          </w:p>
        </w:tc>
        <w:tc>
          <w:tcPr>
            <w:tcW w:w="2040" w:type="dxa"/>
            <w:tcBorders>
              <w:top w:val="nil"/>
              <w:left w:val="nil"/>
              <w:bottom w:val="single" w:sz="4" w:space="0" w:color="4472C4"/>
              <w:right w:val="nil"/>
            </w:tcBorders>
            <w:shd w:val="clear" w:color="D9E1F2" w:fill="D9E1F2"/>
            <w:noWrap/>
            <w:vAlign w:val="bottom"/>
            <w:hideMark/>
          </w:tcPr>
          <w:p w14:paraId="025E6DFF" w14:textId="77777777" w:rsidR="00CD4F11" w:rsidRDefault="00CD4F11">
            <w:pPr>
              <w:jc w:val="center"/>
              <w:rPr>
                <w:rFonts w:ascii="Calibri" w:hAnsi="Calibri" w:cs="Calibri"/>
                <w:color w:val="305496"/>
                <w:sz w:val="22"/>
                <w:szCs w:val="22"/>
              </w:rPr>
            </w:pPr>
          </w:p>
        </w:tc>
        <w:tc>
          <w:tcPr>
            <w:tcW w:w="1680" w:type="dxa"/>
            <w:tcBorders>
              <w:top w:val="nil"/>
              <w:left w:val="nil"/>
              <w:bottom w:val="single" w:sz="4" w:space="0" w:color="4472C4"/>
              <w:right w:val="nil"/>
            </w:tcBorders>
            <w:shd w:val="clear" w:color="D9E1F2" w:fill="D9E1F2"/>
            <w:noWrap/>
            <w:vAlign w:val="bottom"/>
            <w:hideMark/>
          </w:tcPr>
          <w:p w14:paraId="7BAE940B" w14:textId="77777777" w:rsidR="00CD4F11" w:rsidRDefault="00CD4F11">
            <w:pPr>
              <w:jc w:val="center"/>
              <w:rPr>
                <w:sz w:val="20"/>
                <w:szCs w:val="20"/>
              </w:rPr>
            </w:pPr>
          </w:p>
        </w:tc>
      </w:tr>
    </w:tbl>
    <w:p w14:paraId="04CD5E24" w14:textId="144BB10A" w:rsidR="00793F01" w:rsidRDefault="00793F01">
      <w:pPr>
        <w:rPr>
          <w:rFonts w:cstheme="minorHAnsi"/>
        </w:rPr>
      </w:pPr>
    </w:p>
    <w:p w14:paraId="5D48E9B8" w14:textId="55A5240D" w:rsidR="002D694D" w:rsidRDefault="00FB1FCF" w:rsidP="00CD4F11">
      <w:pPr>
        <w:jc w:val="both"/>
        <w:rPr>
          <w:rFonts w:asciiTheme="minorHAnsi" w:hAnsiTheme="minorHAnsi" w:cstheme="minorHAnsi"/>
        </w:rPr>
      </w:pPr>
      <w:r w:rsidRPr="00CD4F11">
        <w:rPr>
          <w:rFonts w:asciiTheme="minorHAnsi" w:hAnsiTheme="minorHAnsi" w:cstheme="minorHAnsi"/>
        </w:rPr>
        <w:t xml:space="preserve">The amount of precept to levy against council taxpayers is a financial decision for the council, but also a political one. For this round of budgeting, perhaps more than ever, there </w:t>
      </w:r>
      <w:r w:rsidR="002D694D">
        <w:rPr>
          <w:rFonts w:asciiTheme="minorHAnsi" w:hAnsiTheme="minorHAnsi" w:cstheme="minorHAnsi"/>
        </w:rPr>
        <w:t>are</w:t>
      </w:r>
      <w:r w:rsidRPr="00CD4F11">
        <w:rPr>
          <w:rFonts w:asciiTheme="minorHAnsi" w:hAnsiTheme="minorHAnsi" w:cstheme="minorHAnsi"/>
        </w:rPr>
        <w:t xml:space="preserve"> differences of opinion on the council, ranging from those councillors who say the precept should not increase at all during a cost of living crisis, to those that say the precept must increase by inflation in order to “stand still”, to those that say the precept should increase to whatever it needs to increase to, even way above inflation, in order to provide vital council services just when people need them most of all.</w:t>
      </w:r>
    </w:p>
    <w:p w14:paraId="64559EE5" w14:textId="77777777" w:rsidR="002D694D" w:rsidRDefault="002D694D" w:rsidP="00CD4F11">
      <w:pPr>
        <w:jc w:val="both"/>
        <w:rPr>
          <w:rFonts w:asciiTheme="minorHAnsi" w:hAnsiTheme="minorHAnsi" w:cstheme="minorHAnsi"/>
        </w:rPr>
      </w:pPr>
    </w:p>
    <w:p w14:paraId="36D384C1" w14:textId="5CCA4C29" w:rsidR="00321EDF" w:rsidRDefault="002D694D" w:rsidP="00CD4F11">
      <w:pPr>
        <w:jc w:val="both"/>
        <w:rPr>
          <w:rFonts w:asciiTheme="minorHAnsi" w:hAnsiTheme="minorHAnsi" w:cstheme="minorHAnsi"/>
        </w:rPr>
      </w:pPr>
      <w:r>
        <w:rPr>
          <w:rFonts w:asciiTheme="minorHAnsi" w:hAnsiTheme="minorHAnsi" w:cstheme="minorHAnsi"/>
        </w:rPr>
        <w:t xml:space="preserve">Against </w:t>
      </w:r>
      <w:r w:rsidR="006D57A4">
        <w:rPr>
          <w:rFonts w:asciiTheme="minorHAnsi" w:hAnsiTheme="minorHAnsi" w:cstheme="minorHAnsi"/>
        </w:rPr>
        <w:t xml:space="preserve">this backdrop the Finance &amp; Policy Committee developed the budget for 2023/24 which was subsequently adopted by council at the </w:t>
      </w:r>
      <w:proofErr w:type="gramStart"/>
      <w:r w:rsidR="006D57A4">
        <w:rPr>
          <w:rFonts w:asciiTheme="minorHAnsi" w:hAnsiTheme="minorHAnsi" w:cstheme="minorHAnsi"/>
        </w:rPr>
        <w:t>19</w:t>
      </w:r>
      <w:r w:rsidR="006D57A4" w:rsidRPr="008009D8">
        <w:rPr>
          <w:rFonts w:asciiTheme="minorHAnsi" w:hAnsiTheme="minorHAnsi" w:cstheme="minorHAnsi"/>
        </w:rPr>
        <w:t>th</w:t>
      </w:r>
      <w:proofErr w:type="gramEnd"/>
      <w:r w:rsidR="006D57A4">
        <w:rPr>
          <w:rFonts w:asciiTheme="minorHAnsi" w:hAnsiTheme="minorHAnsi" w:cstheme="minorHAnsi"/>
        </w:rPr>
        <w:t xml:space="preserve"> December meeting. Council is continually </w:t>
      </w:r>
      <w:r w:rsidR="00B365C7">
        <w:rPr>
          <w:rFonts w:asciiTheme="minorHAnsi" w:hAnsiTheme="minorHAnsi" w:cstheme="minorHAnsi"/>
        </w:rPr>
        <w:t>c</w:t>
      </w:r>
      <w:r w:rsidR="006D57A4">
        <w:rPr>
          <w:rFonts w:asciiTheme="minorHAnsi" w:hAnsiTheme="minorHAnsi" w:cstheme="minorHAnsi"/>
        </w:rPr>
        <w:t>onsider</w:t>
      </w:r>
      <w:r w:rsidR="00B365C7">
        <w:rPr>
          <w:rFonts w:asciiTheme="minorHAnsi" w:hAnsiTheme="minorHAnsi" w:cstheme="minorHAnsi"/>
        </w:rPr>
        <w:t>ing avenues to reduce costs and introduce efficiencies</w:t>
      </w:r>
      <w:r w:rsidR="00502418">
        <w:rPr>
          <w:rFonts w:asciiTheme="minorHAnsi" w:hAnsiTheme="minorHAnsi" w:cstheme="minorHAnsi"/>
        </w:rPr>
        <w:t>, and t</w:t>
      </w:r>
      <w:r w:rsidR="00B365C7">
        <w:rPr>
          <w:rFonts w:asciiTheme="minorHAnsi" w:hAnsiTheme="minorHAnsi" w:cstheme="minorHAnsi"/>
        </w:rPr>
        <w:t>his year a project to upgrade the Parish Street Lighting was brought to completion which will give significant electricity cost reduction going forward.</w:t>
      </w:r>
      <w:r w:rsidR="00502418">
        <w:rPr>
          <w:rFonts w:asciiTheme="minorHAnsi" w:hAnsiTheme="minorHAnsi" w:cstheme="minorHAnsi"/>
        </w:rPr>
        <w:t xml:space="preserve"> The Precept derived from the 2023/24 budget being £133,728 represents a 2.16% reduction on the previous year.</w:t>
      </w:r>
    </w:p>
    <w:p w14:paraId="74CD2377" w14:textId="7CD67547" w:rsidR="00B365C7" w:rsidRDefault="00B365C7" w:rsidP="00CD4F11">
      <w:pPr>
        <w:jc w:val="both"/>
        <w:rPr>
          <w:rFonts w:asciiTheme="minorHAnsi" w:hAnsiTheme="minorHAnsi" w:cstheme="minorHAnsi"/>
        </w:rPr>
      </w:pPr>
    </w:p>
    <w:p w14:paraId="4A5E181B" w14:textId="35AF272D" w:rsidR="00B365C7" w:rsidRDefault="00B365C7" w:rsidP="00CD4F11">
      <w:pPr>
        <w:jc w:val="both"/>
        <w:rPr>
          <w:rFonts w:asciiTheme="minorHAnsi" w:hAnsiTheme="minorHAnsi" w:cstheme="minorHAnsi"/>
        </w:rPr>
      </w:pPr>
      <w:r>
        <w:rPr>
          <w:rFonts w:asciiTheme="minorHAnsi" w:hAnsiTheme="minorHAnsi" w:cstheme="minorHAnsi"/>
        </w:rPr>
        <w:t xml:space="preserve">The table above </w:t>
      </w:r>
      <w:r w:rsidR="00502418">
        <w:rPr>
          <w:rFonts w:asciiTheme="minorHAnsi" w:hAnsiTheme="minorHAnsi" w:cstheme="minorHAnsi"/>
        </w:rPr>
        <w:t xml:space="preserve">shows the Middleton Cheney Parish Council Precept for the last 5 years. What can be seen </w:t>
      </w:r>
      <w:r w:rsidR="00090753">
        <w:rPr>
          <w:rFonts w:asciiTheme="minorHAnsi" w:hAnsiTheme="minorHAnsi" w:cstheme="minorHAnsi"/>
        </w:rPr>
        <w:t xml:space="preserve">here </w:t>
      </w:r>
      <w:r w:rsidR="00794E45">
        <w:rPr>
          <w:rFonts w:asciiTheme="minorHAnsi" w:hAnsiTheme="minorHAnsi" w:cstheme="minorHAnsi"/>
        </w:rPr>
        <w:t xml:space="preserve">is a </w:t>
      </w:r>
      <w:r w:rsidR="00FB36F5">
        <w:rPr>
          <w:rFonts w:asciiTheme="minorHAnsi" w:hAnsiTheme="minorHAnsi" w:cstheme="minorHAnsi"/>
        </w:rPr>
        <w:t>modest</w:t>
      </w:r>
      <w:r w:rsidR="00794E45">
        <w:rPr>
          <w:rFonts w:asciiTheme="minorHAnsi" w:hAnsiTheme="minorHAnsi" w:cstheme="minorHAnsi"/>
        </w:rPr>
        <w:t xml:space="preserve"> </w:t>
      </w:r>
      <w:r w:rsidR="000A5B10">
        <w:rPr>
          <w:rFonts w:asciiTheme="minorHAnsi" w:hAnsiTheme="minorHAnsi" w:cstheme="minorHAnsi"/>
        </w:rPr>
        <w:t>inflationary level rise</w:t>
      </w:r>
      <w:r w:rsidR="00794E45">
        <w:rPr>
          <w:rFonts w:asciiTheme="minorHAnsi" w:hAnsiTheme="minorHAnsi" w:cstheme="minorHAnsi"/>
        </w:rPr>
        <w:t xml:space="preserve"> in the 2020/21 year</w:t>
      </w:r>
      <w:r w:rsidR="00FB36F5">
        <w:rPr>
          <w:rFonts w:asciiTheme="minorHAnsi" w:hAnsiTheme="minorHAnsi" w:cstheme="minorHAnsi"/>
        </w:rPr>
        <w:t xml:space="preserve">, followed by a large </w:t>
      </w:r>
      <w:r w:rsidR="000A5B10">
        <w:rPr>
          <w:rFonts w:asciiTheme="minorHAnsi" w:hAnsiTheme="minorHAnsi" w:cstheme="minorHAnsi"/>
        </w:rPr>
        <w:t xml:space="preserve">22.1% </w:t>
      </w:r>
      <w:r w:rsidR="00FB36F5">
        <w:rPr>
          <w:rFonts w:asciiTheme="minorHAnsi" w:hAnsiTheme="minorHAnsi" w:cstheme="minorHAnsi"/>
        </w:rPr>
        <w:t xml:space="preserve">increase in the subsequent 2021/22 year. From then though, the Precept has been reduced first by 14.4 % in 2022/23, then </w:t>
      </w:r>
      <w:r w:rsidR="00090753">
        <w:rPr>
          <w:rFonts w:asciiTheme="minorHAnsi" w:hAnsiTheme="minorHAnsi" w:cstheme="minorHAnsi"/>
        </w:rPr>
        <w:t xml:space="preserve">reduced </w:t>
      </w:r>
      <w:r w:rsidR="00FB36F5">
        <w:rPr>
          <w:rFonts w:asciiTheme="minorHAnsi" w:hAnsiTheme="minorHAnsi" w:cstheme="minorHAnsi"/>
        </w:rPr>
        <w:t xml:space="preserve">again this year by the 2.16% </w:t>
      </w:r>
      <w:r w:rsidR="00090753">
        <w:rPr>
          <w:rFonts w:asciiTheme="minorHAnsi" w:hAnsiTheme="minorHAnsi" w:cstheme="minorHAnsi"/>
        </w:rPr>
        <w:t>for</w:t>
      </w:r>
      <w:r w:rsidR="00FB36F5">
        <w:rPr>
          <w:rFonts w:asciiTheme="minorHAnsi" w:hAnsiTheme="minorHAnsi" w:cstheme="minorHAnsi"/>
        </w:rPr>
        <w:t xml:space="preserve"> the forthcoming 2023/24 </w:t>
      </w:r>
      <w:r w:rsidR="000A5B10">
        <w:rPr>
          <w:rFonts w:asciiTheme="minorHAnsi" w:hAnsiTheme="minorHAnsi" w:cstheme="minorHAnsi"/>
        </w:rPr>
        <w:t xml:space="preserve">financial </w:t>
      </w:r>
      <w:r w:rsidR="00FB36F5">
        <w:rPr>
          <w:rFonts w:asciiTheme="minorHAnsi" w:hAnsiTheme="minorHAnsi" w:cstheme="minorHAnsi"/>
        </w:rPr>
        <w:t xml:space="preserve">year. </w:t>
      </w:r>
      <w:r w:rsidR="00090753">
        <w:rPr>
          <w:rFonts w:asciiTheme="minorHAnsi" w:hAnsiTheme="minorHAnsi" w:cstheme="minorHAnsi"/>
        </w:rPr>
        <w:t>The overall change over the 5-year period now stands at +3.43%.</w:t>
      </w:r>
    </w:p>
    <w:p w14:paraId="474C46C7" w14:textId="54441CD4" w:rsidR="00090753" w:rsidRDefault="00090753" w:rsidP="00CD4F11">
      <w:pPr>
        <w:jc w:val="both"/>
        <w:rPr>
          <w:rFonts w:asciiTheme="minorHAnsi" w:hAnsiTheme="minorHAnsi" w:cstheme="minorHAnsi"/>
        </w:rPr>
      </w:pPr>
    </w:p>
    <w:p w14:paraId="287C077D" w14:textId="77777777" w:rsidR="007E14C6" w:rsidRDefault="00090753" w:rsidP="007E14C6">
      <w:pPr>
        <w:jc w:val="both"/>
        <w:rPr>
          <w:rFonts w:asciiTheme="minorHAnsi" w:hAnsiTheme="minorHAnsi" w:cstheme="minorHAnsi"/>
        </w:rPr>
      </w:pPr>
      <w:r>
        <w:rPr>
          <w:rFonts w:asciiTheme="minorHAnsi" w:hAnsiTheme="minorHAnsi" w:cstheme="minorHAnsi"/>
        </w:rPr>
        <w:t xml:space="preserve">Considering </w:t>
      </w:r>
      <w:r w:rsidR="007A02D9">
        <w:rPr>
          <w:rFonts w:asciiTheme="minorHAnsi" w:hAnsiTheme="minorHAnsi" w:cstheme="minorHAnsi"/>
        </w:rPr>
        <w:t>the exceptional change in the Precept demand in 2021/22 and the challenging economic environment</w:t>
      </w:r>
      <w:r w:rsidR="001F4E89">
        <w:rPr>
          <w:rFonts w:asciiTheme="minorHAnsi" w:hAnsiTheme="minorHAnsi" w:cstheme="minorHAnsi"/>
        </w:rPr>
        <w:t xml:space="preserve"> over the past couple of years</w:t>
      </w:r>
      <w:r w:rsidR="007A02D9">
        <w:rPr>
          <w:rFonts w:asciiTheme="minorHAnsi" w:hAnsiTheme="minorHAnsi" w:cstheme="minorHAnsi"/>
        </w:rPr>
        <w:t xml:space="preserve">, this demonstrates </w:t>
      </w:r>
      <w:r w:rsidR="001F4E89">
        <w:rPr>
          <w:rFonts w:asciiTheme="minorHAnsi" w:hAnsiTheme="minorHAnsi" w:cstheme="minorHAnsi"/>
        </w:rPr>
        <w:t xml:space="preserve">that </w:t>
      </w:r>
      <w:r w:rsidR="007A02D9">
        <w:rPr>
          <w:rFonts w:asciiTheme="minorHAnsi" w:hAnsiTheme="minorHAnsi" w:cstheme="minorHAnsi"/>
        </w:rPr>
        <w:t>th</w:t>
      </w:r>
      <w:r w:rsidR="001F4E89">
        <w:rPr>
          <w:rFonts w:asciiTheme="minorHAnsi" w:hAnsiTheme="minorHAnsi" w:cstheme="minorHAnsi"/>
        </w:rPr>
        <w:t>e current</w:t>
      </w:r>
      <w:r w:rsidR="007A02D9">
        <w:rPr>
          <w:rFonts w:asciiTheme="minorHAnsi" w:hAnsiTheme="minorHAnsi" w:cstheme="minorHAnsi"/>
        </w:rPr>
        <w:t xml:space="preserve"> council is bringing the finances into control</w:t>
      </w:r>
      <w:r w:rsidR="001F4E89">
        <w:rPr>
          <w:rFonts w:asciiTheme="minorHAnsi" w:hAnsiTheme="minorHAnsi" w:cstheme="minorHAnsi"/>
        </w:rPr>
        <w:t xml:space="preserve"> and</w:t>
      </w:r>
      <w:r w:rsidR="007A02D9">
        <w:rPr>
          <w:rFonts w:asciiTheme="minorHAnsi" w:hAnsiTheme="minorHAnsi" w:cstheme="minorHAnsi"/>
        </w:rPr>
        <w:t xml:space="preserve"> </w:t>
      </w:r>
      <w:r w:rsidR="001F4E89">
        <w:rPr>
          <w:rFonts w:asciiTheme="minorHAnsi" w:hAnsiTheme="minorHAnsi" w:cstheme="minorHAnsi"/>
        </w:rPr>
        <w:t xml:space="preserve">driving cost savings and efficiencies, </w:t>
      </w:r>
      <w:r w:rsidR="007A02D9">
        <w:rPr>
          <w:rFonts w:asciiTheme="minorHAnsi" w:hAnsiTheme="minorHAnsi" w:cstheme="minorHAnsi"/>
        </w:rPr>
        <w:t xml:space="preserve">whilst still delivering </w:t>
      </w:r>
      <w:r w:rsidR="001F4E89">
        <w:rPr>
          <w:rFonts w:asciiTheme="minorHAnsi" w:hAnsiTheme="minorHAnsi" w:cstheme="minorHAnsi"/>
        </w:rPr>
        <w:t xml:space="preserve">the usual </w:t>
      </w:r>
      <w:r w:rsidR="007A02D9">
        <w:rPr>
          <w:rFonts w:asciiTheme="minorHAnsi" w:hAnsiTheme="minorHAnsi" w:cstheme="minorHAnsi"/>
        </w:rPr>
        <w:t>high levels of service to the community.</w:t>
      </w:r>
    </w:p>
    <w:p w14:paraId="361AECE0" w14:textId="77777777" w:rsidR="007E14C6" w:rsidRDefault="007E14C6" w:rsidP="007E14C6">
      <w:pPr>
        <w:jc w:val="both"/>
        <w:rPr>
          <w:rFonts w:asciiTheme="minorHAnsi" w:hAnsiTheme="minorHAnsi" w:cstheme="minorHAnsi"/>
        </w:rPr>
      </w:pPr>
    </w:p>
    <w:p w14:paraId="3A40AD42" w14:textId="4D58C47B" w:rsidR="00793F01" w:rsidRPr="007E14C6" w:rsidRDefault="007E14C6" w:rsidP="007E14C6">
      <w:pPr>
        <w:rPr>
          <w:rFonts w:asciiTheme="minorHAnsi" w:hAnsiTheme="minorHAnsi" w:cstheme="minorHAnsi"/>
        </w:rPr>
      </w:pPr>
      <w:r w:rsidRPr="007E14C6">
        <w:rPr>
          <w:rFonts w:asciiTheme="minorHAnsi" w:hAnsiTheme="minorHAnsi" w:cstheme="minorHAnsi"/>
        </w:rPr>
        <w:t>Alan</w:t>
      </w:r>
      <w:r>
        <w:rPr>
          <w:rFonts w:asciiTheme="minorHAnsi" w:hAnsiTheme="minorHAnsi" w:cstheme="minorHAnsi"/>
        </w:rPr>
        <w:t xml:space="preserve"> </w:t>
      </w:r>
      <w:r w:rsidRPr="007E14C6">
        <w:rPr>
          <w:rFonts w:asciiTheme="minorHAnsi" w:hAnsiTheme="minorHAnsi" w:cstheme="minorHAnsi"/>
        </w:rPr>
        <w:t>Youel</w:t>
      </w:r>
      <w:r w:rsidRPr="007E14C6">
        <w:rPr>
          <w:rFonts w:asciiTheme="minorHAnsi" w:hAnsiTheme="minorHAnsi" w:cstheme="minorHAnsi"/>
        </w:rPr>
        <w:br/>
        <w:t>Chair</w:t>
      </w:r>
      <w:r>
        <w:rPr>
          <w:rFonts w:asciiTheme="minorHAnsi" w:hAnsiTheme="minorHAnsi" w:cstheme="minorHAnsi"/>
        </w:rPr>
        <w:t>man</w:t>
      </w:r>
      <w:r w:rsidRPr="007E14C6">
        <w:rPr>
          <w:rFonts w:asciiTheme="minorHAnsi" w:hAnsiTheme="minorHAnsi" w:cstheme="minorHAnsi"/>
        </w:rPr>
        <w:br/>
        <w:t>Middleton Cheney Parish Council</w:t>
      </w:r>
    </w:p>
    <w:sectPr w:rsidR="00793F01" w:rsidRPr="007E14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540403"/>
    <w:multiLevelType w:val="multilevel"/>
    <w:tmpl w:val="08422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AF26866"/>
    <w:multiLevelType w:val="multilevel"/>
    <w:tmpl w:val="E108A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67865447">
    <w:abstractNumId w:val="1"/>
  </w:num>
  <w:num w:numId="2" w16cid:durableId="19028594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445"/>
    <w:rsid w:val="00040EE9"/>
    <w:rsid w:val="00090753"/>
    <w:rsid w:val="000A3FAD"/>
    <w:rsid w:val="000A5B10"/>
    <w:rsid w:val="001F4E89"/>
    <w:rsid w:val="002D694D"/>
    <w:rsid w:val="00321EDF"/>
    <w:rsid w:val="003C7995"/>
    <w:rsid w:val="0046792B"/>
    <w:rsid w:val="00502418"/>
    <w:rsid w:val="00571C05"/>
    <w:rsid w:val="005C3065"/>
    <w:rsid w:val="005F5CDC"/>
    <w:rsid w:val="00642EE8"/>
    <w:rsid w:val="0068127B"/>
    <w:rsid w:val="006B78D0"/>
    <w:rsid w:val="006D57A4"/>
    <w:rsid w:val="00771C21"/>
    <w:rsid w:val="00793F01"/>
    <w:rsid w:val="00794E45"/>
    <w:rsid w:val="007A02D9"/>
    <w:rsid w:val="007C30C5"/>
    <w:rsid w:val="007E14C6"/>
    <w:rsid w:val="008009D8"/>
    <w:rsid w:val="00872CE1"/>
    <w:rsid w:val="008F5063"/>
    <w:rsid w:val="0095054C"/>
    <w:rsid w:val="00965000"/>
    <w:rsid w:val="009B37ED"/>
    <w:rsid w:val="00B00BAD"/>
    <w:rsid w:val="00B365C7"/>
    <w:rsid w:val="00BA226A"/>
    <w:rsid w:val="00CC663B"/>
    <w:rsid w:val="00CD4F11"/>
    <w:rsid w:val="00CD59A3"/>
    <w:rsid w:val="00D26A4C"/>
    <w:rsid w:val="00ED2445"/>
    <w:rsid w:val="00F14F80"/>
    <w:rsid w:val="00FB1FCF"/>
    <w:rsid w:val="00FB36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487913B"/>
  <w15:chartTrackingRefBased/>
  <w15:docId w15:val="{35CD5BD3-67CA-5645-8D86-D4DF5F4C4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4F11"/>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D2445"/>
    <w:pPr>
      <w:spacing w:before="100" w:beforeAutospacing="1" w:after="100" w:afterAutospacing="1"/>
    </w:pPr>
  </w:style>
  <w:style w:type="character" w:styleId="Emphasis">
    <w:name w:val="Emphasis"/>
    <w:basedOn w:val="DefaultParagraphFont"/>
    <w:uiPriority w:val="20"/>
    <w:qFormat/>
    <w:rsid w:val="00ED244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5836">
      <w:bodyDiv w:val="1"/>
      <w:marLeft w:val="0"/>
      <w:marRight w:val="0"/>
      <w:marTop w:val="0"/>
      <w:marBottom w:val="0"/>
      <w:divBdr>
        <w:top w:val="none" w:sz="0" w:space="0" w:color="auto"/>
        <w:left w:val="none" w:sz="0" w:space="0" w:color="auto"/>
        <w:bottom w:val="none" w:sz="0" w:space="0" w:color="auto"/>
        <w:right w:val="none" w:sz="0" w:space="0" w:color="auto"/>
      </w:divBdr>
    </w:div>
    <w:div w:id="117263751">
      <w:bodyDiv w:val="1"/>
      <w:marLeft w:val="0"/>
      <w:marRight w:val="0"/>
      <w:marTop w:val="0"/>
      <w:marBottom w:val="0"/>
      <w:divBdr>
        <w:top w:val="none" w:sz="0" w:space="0" w:color="auto"/>
        <w:left w:val="none" w:sz="0" w:space="0" w:color="auto"/>
        <w:bottom w:val="none" w:sz="0" w:space="0" w:color="auto"/>
        <w:right w:val="none" w:sz="0" w:space="0" w:color="auto"/>
      </w:divBdr>
    </w:div>
    <w:div w:id="168184961">
      <w:bodyDiv w:val="1"/>
      <w:marLeft w:val="0"/>
      <w:marRight w:val="0"/>
      <w:marTop w:val="0"/>
      <w:marBottom w:val="0"/>
      <w:divBdr>
        <w:top w:val="none" w:sz="0" w:space="0" w:color="auto"/>
        <w:left w:val="none" w:sz="0" w:space="0" w:color="auto"/>
        <w:bottom w:val="none" w:sz="0" w:space="0" w:color="auto"/>
        <w:right w:val="none" w:sz="0" w:space="0" w:color="auto"/>
      </w:divBdr>
    </w:div>
    <w:div w:id="814027776">
      <w:bodyDiv w:val="1"/>
      <w:marLeft w:val="0"/>
      <w:marRight w:val="0"/>
      <w:marTop w:val="0"/>
      <w:marBottom w:val="0"/>
      <w:divBdr>
        <w:top w:val="none" w:sz="0" w:space="0" w:color="auto"/>
        <w:left w:val="none" w:sz="0" w:space="0" w:color="auto"/>
        <w:bottom w:val="none" w:sz="0" w:space="0" w:color="auto"/>
        <w:right w:val="none" w:sz="0" w:space="0" w:color="auto"/>
      </w:divBdr>
    </w:div>
    <w:div w:id="869226108">
      <w:bodyDiv w:val="1"/>
      <w:marLeft w:val="0"/>
      <w:marRight w:val="0"/>
      <w:marTop w:val="0"/>
      <w:marBottom w:val="0"/>
      <w:divBdr>
        <w:top w:val="none" w:sz="0" w:space="0" w:color="auto"/>
        <w:left w:val="none" w:sz="0" w:space="0" w:color="auto"/>
        <w:bottom w:val="none" w:sz="0" w:space="0" w:color="auto"/>
        <w:right w:val="none" w:sz="0" w:space="0" w:color="auto"/>
      </w:divBdr>
    </w:div>
    <w:div w:id="1256212132">
      <w:bodyDiv w:val="1"/>
      <w:marLeft w:val="0"/>
      <w:marRight w:val="0"/>
      <w:marTop w:val="0"/>
      <w:marBottom w:val="0"/>
      <w:divBdr>
        <w:top w:val="none" w:sz="0" w:space="0" w:color="auto"/>
        <w:left w:val="none" w:sz="0" w:space="0" w:color="auto"/>
        <w:bottom w:val="none" w:sz="0" w:space="0" w:color="auto"/>
        <w:right w:val="none" w:sz="0" w:space="0" w:color="auto"/>
      </w:divBdr>
    </w:div>
    <w:div w:id="1444155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326</TotalTime>
  <Pages>2</Pages>
  <Words>855</Words>
  <Characters>4568</Characters>
  <Application>Microsoft Office Word</Application>
  <DocSecurity>0</DocSecurity>
  <Lines>380</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Youel</dc:creator>
  <cp:keywords/>
  <dc:description/>
  <cp:lastModifiedBy>Alan Youel</cp:lastModifiedBy>
  <cp:revision>19</cp:revision>
  <dcterms:created xsi:type="dcterms:W3CDTF">2022-12-23T23:29:00Z</dcterms:created>
  <dcterms:modified xsi:type="dcterms:W3CDTF">2022-12-31T11:25:00Z</dcterms:modified>
</cp:coreProperties>
</file>